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2009年中国环境污染处理专用药剂材料制造行业重点企业竞争力分析报告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2009年中国环境污染处理专用药剂材料制造行业重点企业竞争力分析报告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2009年中国环境污染处理专用药剂材料制造行业重点企业竞争力分析报告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2009年6月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https://www.icandata.com/view/125577.html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https://www.icandata.com/view/125577.html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2009年中国环境污染处理专用药剂材料制造行业重点企业竞争力分析报告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125577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