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2013-2017年中国汽车改装行业运行态势及投资战略分析报告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2013-2017年中国汽车改装行业运行态势及投资战略分析报告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2013-2017年中国汽车改装行业运行态势及投资战略分析报告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2013-2017年中国汽车改装行业运行态势及投资战略分析报告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