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2015-2020年中国槐花市场需求及投资前景分析报告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2015-2020年中国槐花市场需求及投资前景分析报告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2015-2020年中国槐花市场需求及投资前景分析报告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https://www.icandata.com/view/268556.html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https://www.icandata.com/view/268556.html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2015-2020年中国槐花市场需求及投资前景分析报告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268556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